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003087"/>
          <w:sz w:val="28"/>
          <w:szCs w:val="28"/>
        </w:rPr>
        <w:t xml:space="preserve">IEEE STUDENT BRANCH</w:t>
      </w:r>
    </w:p>
    <w:p>
      <w:pPr>
        <w:spacing w:before="0" w:after="60"/>
        <w:jc w:val="center"/>
      </w:pPr>
      <w:r>
        <w:rPr>
          <w:rFonts w:ascii="Arial" w:cs="Arial" w:eastAsia="Arial" w:hAnsi="Arial"/>
          <w:b/>
          <w:bCs/>
          <w:color w:val="333333"/>
          <w:sz w:val="24"/>
          <w:szCs w:val="24"/>
        </w:rPr>
        <w:t xml:space="preserve">UNIVERSIDAD IBEROAMERICANA MEXICO CITY</w:t>
      </w:r>
    </w:p>
    <w:p>
      <w:pPr>
        <w:spacing w:before="0" w:after="180"/>
        <w:jc w:val="center"/>
      </w:pPr>
      <w:r>
        <w:rPr>
          <w:rFonts w:ascii="Arial" w:cs="Arial" w:eastAsia="Arial" w:hAnsi="Arial"/>
          <w:b/>
          <w:bCs/>
          <w:color w:val="B8860B"/>
          <w:sz w:val="20"/>
          <w:szCs w:val="20"/>
        </w:rPr>
        <w:t xml:space="preserve">WORK PLAN 2026 — ANNUAL EXERCISE</w:t>
      </w:r>
    </w:p>
    <w:p>
      <w:pPr>
        <w:pBdr>
          <w:bottom w:val="single" w:color="003087" w:sz="4" w:space="1"/>
        </w:pBdr>
        <w:spacing w:before="240" w:after="120"/>
      </w:pPr>
      <w:r>
        <w:rPr>
          <w:rFonts w:ascii="Arial" w:cs="Arial" w:eastAsia="Arial" w:hAnsi="Arial"/>
          <w:b/>
          <w:bCs/>
          <w:color w:val="003087"/>
          <w:sz w:val="22"/>
          <w:szCs w:val="22"/>
        </w:rPr>
        <w:t xml:space="preserve">DIAGNOSIS AND STRATEGIC APPROACH</w:t>
      </w:r>
    </w:p>
    <w:p>
      <w:pPr>
        <w:spacing w:before="100" w:after="100"/>
      </w:pPr>
      <w:r>
        <w:rPr>
          <w:rFonts w:ascii="Arial" w:cs="Arial" w:eastAsia="Arial" w:hAnsi="Arial"/>
          <w:color w:val="222222"/>
          <w:sz w:val="18"/>
          <w:szCs w:val="18"/>
        </w:rPr>
        <w:t xml:space="preserve">The IEEE UIA Branch is going through a critical period of low participation, inactive technical chapters, and limited institutional visibility. This plan defines concrete actions, responsibilities, and deadlines to reverse that trend, consolidate the branch as a national reference, and position the university as a host for IEEE network events.</w:t>
      </w:r>
    </w:p>
    <w:p>
      <w:pPr>
        <w:spacing w:before="180" w:after="80"/>
      </w:pPr>
      <w:r>
        <w:rPr>
          <w:rFonts w:ascii="Arial" w:cs="Arial" w:eastAsia="Arial" w:hAnsi="Arial"/>
          <w:b/>
          <w:bCs/>
          <w:color w:val="003087"/>
          <w:sz w:val="20"/>
          <w:szCs w:val="20"/>
        </w:rPr>
        <w:t xml:space="preserve">ACTIVITY CALENDAR AND RESPONSIBILITIES</w:t>
      </w:r>
    </w:p>
    <w:tbl>
      <w:tblPr>
        <w:tblW w:type="dxa" w:w="14112"/>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912"/>
        <w:gridCol w:w="2200"/>
        <w:gridCol w:w="2400"/>
      </w:tblGrid>
      <w:tr>
        <w:trPr>
          <w:tblHeader/>
        </w:trPr>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PERIOD</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ACTIVITY</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 AND SCOPE</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RESPONSIBLE</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KEY INDICATOR</w:t>
            </w:r>
          </w:p>
        </w:tc>
      </w:tr>
      <w:tr>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003087"/>
                <w:sz w:val="18"/>
                <w:szCs w:val="18"/>
              </w:rPr>
              <w:t xml:space="preserve">Jan–Feb</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222222"/>
                <w:sz w:val="18"/>
                <w:szCs w:val="18"/>
              </w:rPr>
              <w:t xml:space="preserve">Chapter Reactivation</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222222"/>
                <w:sz w:val="18"/>
                <w:szCs w:val="18"/>
              </w:rPr>
              <w:t xml:space="preserve">Open election call for inactive technical chapters. Transparent process with documented candidacies and student voting.</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555555"/>
                <w:sz w:val="18"/>
                <w:szCs w:val="18"/>
              </w:rPr>
              <w:t xml:space="preserve">Technical Chapters</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444444"/>
                <w:sz w:val="18"/>
                <w:szCs w:val="18"/>
              </w:rPr>
              <w:t xml:space="preserve">≥3 chapters reactivated</w:t>
            </w:r>
          </w:p>
        </w:tc>
      </w:tr>
      <w:tr>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003087"/>
                <w:sz w:val="18"/>
                <w:szCs w:val="18"/>
              </w:rPr>
              <w:t xml:space="preserve">March</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222222"/>
                <w:sz w:val="18"/>
                <w:szCs w:val="18"/>
              </w:rPr>
              <w:t xml:space="preserve">IEEE Awareness Rally</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Organized student mobilization to raise visibility of branch demands before university authorities and the IEEE Mexico Section.</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555555"/>
                <w:sz w:val="18"/>
                <w:szCs w:val="18"/>
              </w:rPr>
              <w:t xml:space="preserve">Student Leadership</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444444"/>
                <w:sz w:val="18"/>
                <w:szCs w:val="18"/>
              </w:rPr>
              <w:t xml:space="preserve">≥150 participants</w:t>
            </w:r>
          </w:p>
        </w:tc>
      </w:tr>
      <w:tr>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003087"/>
                <w:sz w:val="18"/>
                <w:szCs w:val="18"/>
              </w:rPr>
              <w:t xml:space="preserve">Mar–Apr</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222222"/>
                <w:sz w:val="18"/>
                <w:szCs w:val="18"/>
              </w:rPr>
              <w:t xml:space="preserve">IEEE Notification Hub</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222222"/>
                <w:sz w:val="18"/>
                <w:szCs w:val="18"/>
              </w:rPr>
              <w:t xml:space="preserve">Launch of a customizable alert platform for scholarships, calls for applications, international programs (IEEEXtreme, GRSS, Young Professionals), and section events.</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555555"/>
                <w:sz w:val="18"/>
                <w:szCs w:val="18"/>
              </w:rPr>
              <w:t xml:space="preserve">Digital Committee</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444444"/>
                <w:sz w:val="18"/>
                <w:szCs w:val="18"/>
              </w:rPr>
              <w:t xml:space="preserve">≥200 registered users</w:t>
            </w:r>
          </w:p>
        </w:tc>
      </w:tr>
      <w:tr>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003087"/>
                <w:sz w:val="18"/>
                <w:szCs w:val="18"/>
              </w:rPr>
              <w:t xml:space="preserve">May</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222222"/>
                <w:sz w:val="18"/>
                <w:szCs w:val="18"/>
              </w:rPr>
              <w:t xml:space="preserve">UIA Engineering Fair</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Multidisciplinary exhibition of student projects in partnership with academic divisions. Evaluation based on IEEE criteria for innovation and impact.</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555555"/>
                <w:sz w:val="18"/>
                <w:szCs w:val="18"/>
              </w:rPr>
              <w:t xml:space="preserve">Chapters + Faculty</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444444"/>
                <w:sz w:val="18"/>
                <w:szCs w:val="18"/>
              </w:rPr>
              <w:t xml:space="preserve">≥300 visitors</w:t>
            </w:r>
          </w:p>
        </w:tc>
      </w:tr>
      <w:tr>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003087"/>
                <w:sz w:val="18"/>
                <w:szCs w:val="18"/>
              </w:rPr>
              <w:t xml:space="preserve">May–Jun</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222222"/>
                <w:sz w:val="18"/>
                <w:szCs w:val="18"/>
              </w:rPr>
              <w:t xml:space="preserve">Project Competition Submission</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222222"/>
                <w:sz w:val="18"/>
                <w:szCs w:val="18"/>
              </w:rPr>
              <w:t xml:space="preserve">Selection and preparation of teams for national and international competitions: IEEEXtreme, Makeathon, Region 9 Student Paper Contest.</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555555"/>
                <w:sz w:val="18"/>
                <w:szCs w:val="18"/>
              </w:rPr>
              <w:t xml:space="preserve">Technical Committee</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444444"/>
                <w:sz w:val="18"/>
                <w:szCs w:val="18"/>
              </w:rPr>
              <w:t xml:space="preserve">≥3 teams registered</w:t>
            </w:r>
          </w:p>
        </w:tc>
      </w:tr>
      <w:tr>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003087"/>
                <w:sz w:val="18"/>
                <w:szCs w:val="18"/>
              </w:rPr>
              <w:t xml:space="preserve">July</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222222"/>
                <w:sz w:val="18"/>
                <w:szCs w:val="18"/>
              </w:rPr>
              <w:t xml:space="preserve">Engineering Escape Room</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Integration and recruitment event: logic, circuits, programming, and embedded systems challenges in escape room format. Goal: 80+ participants.</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555555"/>
                <w:sz w:val="18"/>
                <w:szCs w:val="18"/>
              </w:rPr>
              <w:t xml:space="preserve">Technical Chapters</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444444"/>
                <w:sz w:val="18"/>
                <w:szCs w:val="18"/>
              </w:rPr>
              <w:t xml:space="preserve">≥80 participants</w:t>
            </w:r>
          </w:p>
        </w:tc>
      </w:tr>
      <w:tr>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003087"/>
                <w:sz w:val="18"/>
                <w:szCs w:val="18"/>
              </w:rPr>
              <w:t xml:space="preserve">August</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222222"/>
                <w:sz w:val="18"/>
                <w:szCs w:val="18"/>
              </w:rPr>
              <w:t xml:space="preserve">Social Innovation Hackathon</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222222"/>
                <w:sz w:val="18"/>
                <w:szCs w:val="18"/>
              </w:rPr>
              <w:t xml:space="preserve">48-hour marathon focused on technology solutions with social impact, open to students from all engineering disciplines with industry mentors.</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555555"/>
                <w:sz w:val="18"/>
                <w:szCs w:val="18"/>
              </w:rPr>
              <w:t xml:space="preserve">Technical Committee + empresas</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444444"/>
                <w:sz w:val="18"/>
                <w:szCs w:val="18"/>
              </w:rPr>
              <w:t xml:space="preserve">≥60 teams / 2 sponsors</w:t>
            </w:r>
          </w:p>
        </w:tc>
      </w:tr>
      <w:tr>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003087"/>
                <w:sz w:val="18"/>
                <w:szCs w:val="18"/>
              </w:rPr>
              <w:t xml:space="preserve">September</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222222"/>
                <w:sz w:val="18"/>
                <w:szCs w:val="18"/>
              </w:rPr>
              <w:t xml:space="preserve">Bid for International Event Host</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Formal submission to IEEE Region 9 of the dossier to host an international IEEE event (WIE Forum, ISEC, or similar) at UIA in 2026.</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555555"/>
                <w:sz w:val="18"/>
                <w:szCs w:val="18"/>
              </w:rPr>
              <w:t xml:space="preserve">Executive Board</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444444"/>
                <w:sz w:val="18"/>
                <w:szCs w:val="18"/>
              </w:rPr>
              <w:t xml:space="preserve">Dossier submitted</w:t>
            </w:r>
          </w:p>
        </w:tc>
      </w:tr>
      <w:tr>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003087"/>
                <w:sz w:val="18"/>
                <w:szCs w:val="18"/>
              </w:rPr>
              <w:t xml:space="preserve">October</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bCs/>
                <w:color w:val="222222"/>
                <w:sz w:val="18"/>
                <w:szCs w:val="18"/>
              </w:rPr>
              <w:t xml:space="preserve">Mexican Robotics Congress</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222222"/>
                <w:sz w:val="18"/>
                <w:szCs w:val="18"/>
              </w:rPr>
              <w:t xml:space="preserve">Active participation as organizing branch: logistical coordination, satellite workshops, and presentation of student projects to the national community.</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555555"/>
                <w:sz w:val="18"/>
                <w:szCs w:val="18"/>
              </w:rPr>
              <w:t xml:space="preserve">Branch + RAS Chapter</w:t>
            </w:r>
          </w:p>
        </w:tc>
        <w:tc>
          <w:tcPr>
            <w:tcW w:type="auto" w:w="1"/>
            <w:tcBorders>
              <w:top w:val="single" w:color="AAAAAA" w:sz="1"/>
              <w:left w:val="single" w:color="AAAAAA" w:sz="1"/>
              <w:bottom w:val="single" w:color="AAAAAA" w:sz="1"/>
              <w:right w:val="single" w:color="AAAAAA" w:sz="1"/>
            </w:tcBorders>
            <w:shd w:fill="F2F2F2" w:val="clear"/>
            <w:tcMar>
              <w:top w:type="dxa" w:w="80"/>
              <w:left w:type="dxa" w:w="120"/>
              <w:bottom w:type="dxa" w:w="80"/>
              <w:right w:type="dxa" w:w="120"/>
            </w:tcMar>
          </w:tcPr>
          <w:p>
            <w:r>
              <w:rPr>
                <w:rFonts w:ascii="Arial" w:cs="Arial" w:eastAsia="Arial" w:hAnsi="Arial"/>
                <w:b w:val="false"/>
                <w:bCs w:val="false"/>
                <w:color w:val="444444"/>
                <w:sz w:val="18"/>
                <w:szCs w:val="18"/>
              </w:rPr>
              <w:t xml:space="preserve">≥2 workshops coordinated</w:t>
            </w:r>
          </w:p>
        </w:tc>
      </w:tr>
      <w:tr>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003087"/>
                <w:sz w:val="18"/>
                <w:szCs w:val="18"/>
              </w:rPr>
              <w:t xml:space="preserve">Nov–Dec</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bCs/>
                <w:color w:val="222222"/>
                <w:sz w:val="18"/>
                <w:szCs w:val="18"/>
              </w:rPr>
              <w:t xml:space="preserve">Annual Evaluation and Report</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KPI measurement: active memberships, attendance, registered projects, and positioning before the Mexico Section. Publication of an open report.</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555555"/>
                <w:sz w:val="18"/>
                <w:szCs w:val="18"/>
              </w:rPr>
              <w:t xml:space="preserve">Executive Board</w:t>
            </w:r>
          </w:p>
        </w:tc>
        <w:tc>
          <w:tcPr>
            <w:tcW w:type="auto" w:w="1"/>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b w:val="false"/>
                <w:bCs w:val="false"/>
                <w:color w:val="444444"/>
                <w:sz w:val="18"/>
                <w:szCs w:val="18"/>
              </w:rPr>
              <w:t xml:space="preserve">Report published</w:t>
            </w:r>
          </w:p>
        </w:tc>
      </w:tr>
    </w:tbl>
    <w:p>
      <w:pPr>
        <w:spacing w:before="200" w:after="80"/>
      </w:pPr>
      <w:r>
        <w:rPr>
          <w:rFonts w:ascii="Arial" w:cs="Arial" w:eastAsia="Arial" w:hAnsi="Arial"/>
          <w:b/>
          <w:bCs/>
          <w:color w:val="003087"/>
          <w:sz w:val="20"/>
          <w:szCs w:val="20"/>
        </w:rPr>
        <w:t xml:space="preserve">CROSS-CUTTING AXES</w:t>
      </w:r>
    </w:p>
    <w:tbl>
      <w:tblPr>
        <w:tblW w:type="dxa" w:w="14112"/>
        <w:tblBorders>
          <w:top w:val="single" w:color="auto" w:sz="4"/>
          <w:left w:val="single" w:color="auto" w:sz="4"/>
          <w:bottom w:val="single" w:color="auto" w:sz="4"/>
          <w:right w:val="single" w:color="auto" w:sz="4"/>
          <w:insideH w:val="single" w:color="auto" w:sz="4"/>
          <w:insideV w:val="single" w:color="auto" w:sz="4"/>
        </w:tblBorders>
      </w:tblPr>
      <w:tblGrid>
        <w:gridCol w:w="3528"/>
        <w:gridCol w:w="3528"/>
        <w:gridCol w:w="3528"/>
        <w:gridCol w:w="3528"/>
      </w:tblGrid>
      <w:tr>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GOVERNANCE</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VISIBILITY</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INTERNATIONALIZATION</w:t>
            </w:r>
          </w:p>
        </w:tc>
        <w:tc>
          <w:tcPr>
            <w:tcW w:type="auto" w:w="1"/>
            <w:tcBorders>
              <w:top w:val="single" w:color="AAAAAA" w:sz="1"/>
              <w:left w:val="single" w:color="AAAAAA" w:sz="1"/>
              <w:bottom w:val="single" w:color="AAAAAA" w:sz="1"/>
              <w:right w:val="single" w:color="AAAAAA" w:sz="1"/>
            </w:tcBorders>
            <w:shd w:fill="003087"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TECHNOLOGY</w:t>
            </w:r>
          </w:p>
        </w:tc>
      </w:tr>
      <w:tr>
        <w:tc>
          <w:tcPr>
            <w:tcW w:type="auto" w:w="1"/>
            <w:tcBorders>
              <w:top w:val="single" w:color="AAAAAA" w:sz="1"/>
              <w:left w:val="single" w:color="AAAAAA" w:sz="1"/>
              <w:bottom w:val="single" w:color="AAAAAA" w:sz="1"/>
              <w:right w:val="single" w:color="AAAAAA" w:sz="1"/>
            </w:tcBorders>
            <w:shd w:fill="D6E4F0" w:val="clear"/>
            <w:tcMar>
              <w:top w:type="dxa" w:w="80"/>
              <w:left w:type="dxa" w:w="120"/>
              <w:bottom w:type="dxa" w:w="80"/>
              <w:right w:type="dxa" w:w="120"/>
            </w:tcMar>
          </w:tcPr>
          <w:p>
            <w:r>
              <w:rPr>
                <w:rFonts w:ascii="Arial" w:cs="Arial" w:eastAsia="Arial" w:hAnsi="Arial"/>
                <w:b w:val="false"/>
                <w:bCs w:val="false"/>
                <w:color w:val="222222"/>
                <w:sz w:val="18"/>
                <w:szCs w:val="18"/>
              </w:rPr>
              <w:t xml:space="preserve">Open and documented elections for all chapters. Updated and published bylaws.</w:t>
            </w:r>
          </w:p>
        </w:tc>
        <w:tc>
          <w:tcPr>
            <w:tcW w:type="auto" w:w="1"/>
            <w:tcBorders>
              <w:top w:val="single" w:color="AAAAAA" w:sz="1"/>
              <w:left w:val="single" w:color="AAAAAA" w:sz="1"/>
              <w:bottom w:val="single" w:color="AAAAAA" w:sz="1"/>
              <w:right w:val="single" w:color="AAAAAA" w:sz="1"/>
            </w:tcBorders>
            <w:shd w:fill="D6E4F0" w:val="clear"/>
            <w:tcMar>
              <w:top w:type="dxa" w:w="80"/>
              <w:left w:type="dxa" w:w="120"/>
              <w:bottom w:type="dxa" w:w="80"/>
              <w:right w:type="dxa" w:w="120"/>
            </w:tcMar>
          </w:tcPr>
          <w:p>
            <w:r>
              <w:rPr>
                <w:rFonts w:ascii="Arial" w:cs="Arial" w:eastAsia="Arial" w:hAnsi="Arial"/>
                <w:b w:val="false"/>
                <w:bCs w:val="false"/>
                <w:color w:val="222222"/>
                <w:sz w:val="18"/>
                <w:szCs w:val="18"/>
              </w:rPr>
              <w:t xml:space="preserve">Active presence on social media, event coverage, and bimonthly newsletter for the UIA community.</w:t>
            </w:r>
          </w:p>
        </w:tc>
        <w:tc>
          <w:tcPr>
            <w:tcW w:type="auto" w:w="1"/>
            <w:tcBorders>
              <w:top w:val="single" w:color="AAAAAA" w:sz="1"/>
              <w:left w:val="single" w:color="AAAAAA" w:sz="1"/>
              <w:bottom w:val="single" w:color="AAAAAA" w:sz="1"/>
              <w:right w:val="single" w:color="AAAAAA" w:sz="1"/>
            </w:tcBorders>
            <w:shd w:fill="D6E4F0" w:val="clear"/>
            <w:tcMar>
              <w:top w:type="dxa" w:w="80"/>
              <w:left w:type="dxa" w:w="120"/>
              <w:bottom w:type="dxa" w:w="80"/>
              <w:right w:type="dxa" w:w="120"/>
            </w:tcMar>
          </w:tcPr>
          <w:p>
            <w:r>
              <w:rPr>
                <w:rFonts w:ascii="Arial" w:cs="Arial" w:eastAsia="Arial" w:hAnsi="Arial"/>
                <w:b w:val="false"/>
                <w:bCs w:val="false"/>
                <w:color w:val="222222"/>
                <w:sz w:val="18"/>
                <w:szCs w:val="18"/>
              </w:rPr>
              <w:t xml:space="preserve">Bid to host an international IEEE event. Registration of members in global programs.</w:t>
            </w:r>
          </w:p>
        </w:tc>
        <w:tc>
          <w:tcPr>
            <w:tcW w:type="auto" w:w="1"/>
            <w:tcBorders>
              <w:top w:val="single" w:color="AAAAAA" w:sz="1"/>
              <w:left w:val="single" w:color="AAAAAA" w:sz="1"/>
              <w:bottom w:val="single" w:color="AAAAAA" w:sz="1"/>
              <w:right w:val="single" w:color="AAAAAA" w:sz="1"/>
            </w:tcBorders>
            <w:shd w:fill="D6E4F0" w:val="clear"/>
            <w:tcMar>
              <w:top w:type="dxa" w:w="80"/>
              <w:left w:type="dxa" w:w="120"/>
              <w:bottom w:type="dxa" w:w="80"/>
              <w:right w:type="dxa" w:w="120"/>
            </w:tcMar>
          </w:tcPr>
          <w:p>
            <w:r>
              <w:rPr>
                <w:rFonts w:ascii="Arial" w:cs="Arial" w:eastAsia="Arial" w:hAnsi="Arial"/>
                <w:b w:val="false"/>
                <w:bCs w:val="false"/>
                <w:color w:val="222222"/>
                <w:sz w:val="18"/>
                <w:szCs w:val="18"/>
              </w:rPr>
              <w:t xml:space="preserve">Customizable notification hub: scholarships, calls for applications, and IEEE events in real time.</w:t>
            </w:r>
          </w:p>
        </w:tc>
      </w:tr>
    </w:tbl>
    <w:p>
      <w:pPr>
        <w:pBdr>
          <w:left w:val="single" w:color="B8860B" w:sz="12" w:space="4"/>
        </w:pBdr>
        <w:spacing w:before="160" w:after="0"/>
      </w:pPr>
      <w:r>
        <w:rPr>
          <w:rFonts w:ascii="Arial" w:cs="Arial" w:eastAsia="Arial" w:hAnsi="Arial"/>
          <w:b/>
          <w:bCs/>
          <w:color w:val="B8860B"/>
          <w:sz w:val="17"/>
          <w:szCs w:val="17"/>
        </w:rPr>
        <w:t xml:space="preserve">MANAGEMENT NOTE: </w:t>
      </w:r>
      <w:r>
        <w:rPr>
          <w:rFonts w:ascii="Arial" w:cs="Arial" w:eastAsia="Arial" w:hAnsi="Arial"/>
          <w:color w:val="444444"/>
          <w:sz w:val="17"/>
          <w:szCs w:val="17"/>
        </w:rPr>
        <w:t xml:space="preserve">Failure to meet indicators in first-semester activities will trigger an extraordinary review by the executive board. The international host bid and chapter reactivation are minimum success conditions for the 2026 exercise. Without measurable progress in both areas, the plan must be reformulated before August.</w:t>
      </w:r>
    </w:p>
    <w:p>
      <w:pPr>
        <w:pBdr>
          <w:top w:val="single" w:color="003087" w:sz="4" w:space="4"/>
        </w:pBdr>
        <w:spacing w:before="140" w:after="0"/>
        <w:jc w:val="right"/>
      </w:pPr>
      <w:r>
        <w:rPr>
          <w:rFonts w:ascii="Arial" w:cs="Arial" w:eastAsia="Arial" w:hAnsi="Arial"/>
          <w:color w:val="888888"/>
          <w:sz w:val="15"/>
          <w:szCs w:val="15"/>
        </w:rPr>
        <w:t xml:space="preserve">IEEE UIA Branch · Mexico Section · Region 9 · Internal Management Document 2026</w:t>
      </w:r>
    </w:p>
    <w:sectPr>
      <w:pgSz w:w="12240" w:h="15840" w:orient="landscape"/>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2026-02-18T18:07:48.838Z</dcterms:created>
  <dcterms:modified xsi:type="dcterms:W3CDTF">2026-02-18T18:07:48.839Z</dcterms:modified>
</cp:coreProperties>
</file>

<file path=docProps/custom.xml><?xml version="1.0" encoding="utf-8"?>
<Properties xmlns="http://schemas.openxmlformats.org/officeDocument/2006/custom-properties" xmlns:vt="http://schemas.openxmlformats.org/officeDocument/2006/docPropsVTypes"/>
</file>